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354" w14:textId="77777777" w:rsidR="002A74C5" w:rsidRDefault="00A45410" w:rsidP="00A45410">
      <w:pPr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TAGSÁG FELFÜGGESZTÉS</w:t>
      </w:r>
    </w:p>
    <w:p w14:paraId="2B702484" w14:textId="77777777" w:rsidR="00781407" w:rsidRPr="00A63629" w:rsidRDefault="00A45410" w:rsidP="00A45410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JOGOSULTSÁG SZÜNETELTETÉS</w:t>
      </w:r>
    </w:p>
    <w:p w14:paraId="08359BDF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BA96B2B" w14:textId="77777777" w:rsidR="00781407" w:rsidRPr="00A63629" w:rsidRDefault="00781407" w:rsidP="001A2BFD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Kérem a Budapesti Építész Kamaránál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nyilvántartott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kamarai tagságom</w:t>
      </w:r>
      <w:r w:rsidRPr="00721587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1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felfüggesztését</w:t>
      </w:r>
      <w:r w:rsidR="00A63629">
        <w:rPr>
          <w:rFonts w:asciiTheme="minorHAnsi" w:eastAsia="Times New Roman" w:hAnsiTheme="minorHAnsi"/>
          <w:sz w:val="22"/>
          <w:lang w:eastAsia="hu-HU"/>
          <w14:numForm w14:val="lining"/>
        </w:rPr>
        <w:t>,</w:t>
      </w:r>
      <w:r w:rsidR="00A63629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illetve</w:t>
      </w:r>
      <w:r w:rsidR="001A2BFD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az egységes elektronikus hatósági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névjegyzéki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nyilvántartásban szereplő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szakmagyakorlási jogosultságom</w:t>
      </w:r>
      <w:r w:rsidRPr="00A63629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2"/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szüneteltetését.</w:t>
      </w:r>
    </w:p>
    <w:p w14:paraId="7D810A16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Style w:val="Rcsostblzat"/>
        <w:tblW w:w="96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5808"/>
      </w:tblGrid>
      <w:tr w:rsidR="002A74C5" w:rsidRPr="002A74C5" w14:paraId="55BED768" w14:textId="77777777" w:rsidTr="002A74C5">
        <w:trPr>
          <w:trHeight w:val="293"/>
        </w:trPr>
        <w:tc>
          <w:tcPr>
            <w:tcW w:w="3885" w:type="dxa"/>
          </w:tcPr>
          <w:p w14:paraId="5A6CFA68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Név:</w:t>
            </w:r>
          </w:p>
          <w:p w14:paraId="21CF50E8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95FA80E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2C2E6CC3" w14:textId="77777777" w:rsidTr="002A74C5">
        <w:trPr>
          <w:trHeight w:val="293"/>
        </w:trPr>
        <w:tc>
          <w:tcPr>
            <w:tcW w:w="3885" w:type="dxa"/>
          </w:tcPr>
          <w:p w14:paraId="155AA513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Tagság felfüggesztése*:</w:t>
            </w:r>
          </w:p>
          <w:p w14:paraId="517B79C8" w14:textId="77777777" w:rsidR="002A74C5" w:rsidRDefault="00721587" w:rsidP="00EE381D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721587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aláhúzással jelezze!</w:t>
            </w:r>
          </w:p>
          <w:p w14:paraId="08FBCA1F" w14:textId="77777777" w:rsidR="00721587" w:rsidRPr="002A74C5" w:rsidRDefault="00721587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3E85C048" w14:textId="77777777" w:rsidR="00721587" w:rsidRPr="002A74C5" w:rsidRDefault="002A74C5" w:rsidP="00EE381D">
            <w:pPr>
              <w:jc w:val="both"/>
              <w:rPr>
                <w:rFonts w:asciiTheme="minorHAnsi" w:eastAsia="Times New Roman" w:hAnsiTheme="minorHAnsi"/>
                <w:i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igen / nem</w:t>
            </w:r>
          </w:p>
        </w:tc>
      </w:tr>
      <w:tr w:rsidR="002A74C5" w:rsidRPr="002A74C5" w14:paraId="4B51F90E" w14:textId="77777777" w:rsidTr="00D37178">
        <w:trPr>
          <w:trHeight w:val="570"/>
        </w:trPr>
        <w:tc>
          <w:tcPr>
            <w:tcW w:w="3885" w:type="dxa"/>
          </w:tcPr>
          <w:p w14:paraId="0C0F502E" w14:textId="77777777" w:rsidR="001A2BFD" w:rsidRDefault="001A2BFD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4283B84C" w14:textId="77777777" w:rsidR="002A74C5" w:rsidRP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2420F4E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egyéb későbbi időpont: ……………………….....................</w:t>
            </w:r>
          </w:p>
        </w:tc>
      </w:tr>
      <w:tr w:rsidR="002A74C5" w:rsidRPr="002A74C5" w14:paraId="6F441A53" w14:textId="77777777" w:rsidTr="001A2BFD">
        <w:trPr>
          <w:trHeight w:val="453"/>
        </w:trPr>
        <w:tc>
          <w:tcPr>
            <w:tcW w:w="3885" w:type="dxa"/>
          </w:tcPr>
          <w:p w14:paraId="22CC6022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1590CE39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a kérelem beadását követő első Elnökségi ülés napja</w:t>
            </w:r>
          </w:p>
        </w:tc>
      </w:tr>
      <w:tr w:rsidR="002A74C5" w:rsidRPr="002A74C5" w14:paraId="35E896D8" w14:textId="77777777" w:rsidTr="002A74C5">
        <w:trPr>
          <w:trHeight w:val="293"/>
        </w:trPr>
        <w:tc>
          <w:tcPr>
            <w:tcW w:w="3885" w:type="dxa"/>
          </w:tcPr>
          <w:p w14:paraId="22B2D625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Jogosultság szüneteltetés</w:t>
            </w: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</w:t>
            </w:r>
          </w:p>
          <w:p w14:paraId="41CE03D0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 megfelelőt töltse ki!</w:t>
            </w:r>
          </w:p>
          <w:p w14:paraId="17750926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18"/>
                <w:szCs w:val="18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7FECAE53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</w:tr>
      <w:tr w:rsidR="002A74C5" w:rsidRPr="002A74C5" w14:paraId="6304969B" w14:textId="77777777" w:rsidTr="002A74C5">
        <w:trPr>
          <w:trHeight w:val="293"/>
        </w:trPr>
        <w:tc>
          <w:tcPr>
            <w:tcW w:w="3885" w:type="dxa"/>
          </w:tcPr>
          <w:p w14:paraId="36EFBD80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Tervezői: </w:t>
            </w:r>
          </w:p>
          <w:p w14:paraId="2645B9F5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FBB967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93D5B81" w14:textId="77777777" w:rsidTr="002A74C5">
        <w:trPr>
          <w:trHeight w:val="293"/>
        </w:trPr>
        <w:tc>
          <w:tcPr>
            <w:tcW w:w="3885" w:type="dxa"/>
          </w:tcPr>
          <w:p w14:paraId="4212B19E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Szakértői: </w:t>
            </w:r>
          </w:p>
          <w:p w14:paraId="6234D728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02F14CA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F47984D" w14:textId="77777777" w:rsidTr="002A74C5">
        <w:trPr>
          <w:trHeight w:val="293"/>
        </w:trPr>
        <w:tc>
          <w:tcPr>
            <w:tcW w:w="3885" w:type="dxa"/>
          </w:tcPr>
          <w:p w14:paraId="51EC40B3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Felelős műszaki vezetői: </w:t>
            </w:r>
          </w:p>
          <w:p w14:paraId="6F7AEEE3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A2B6ED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686FA576" w14:textId="77777777" w:rsidTr="002A74C5">
        <w:trPr>
          <w:trHeight w:val="293"/>
        </w:trPr>
        <w:tc>
          <w:tcPr>
            <w:tcW w:w="3885" w:type="dxa"/>
          </w:tcPr>
          <w:p w14:paraId="08AAA149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Műszaki ellenőri: </w:t>
            </w:r>
          </w:p>
          <w:p w14:paraId="14FA22CC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15A53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557C74DB" w14:textId="77777777" w:rsidTr="002A74C5">
        <w:trPr>
          <w:trHeight w:val="293"/>
        </w:trPr>
        <w:tc>
          <w:tcPr>
            <w:tcW w:w="3885" w:type="dxa"/>
          </w:tcPr>
          <w:p w14:paraId="1E2B9D73" w14:textId="77777777" w:rsid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0A4408BE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6F100AD5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</w:tbl>
    <w:p w14:paraId="229BC98E" w14:textId="77777777" w:rsidR="00781407" w:rsidRPr="00A63629" w:rsidRDefault="00781407" w:rsidP="00781407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4D9017D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Kijelentem,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2A74C5" w:rsidRPr="002A74C5">
        <w:rPr>
          <w:rFonts w:asciiTheme="minorHAnsi" w:eastAsia="Times New Roman" w:hAnsiTheme="minorHAnsi"/>
          <w:bCs/>
          <w:sz w:val="22"/>
          <w:lang w:eastAsia="hu-HU"/>
          <w14:numForm w14:val="lining"/>
        </w:rPr>
        <w:t>hogy</w:t>
      </w:r>
    </w:p>
    <w:p w14:paraId="2BEE6E7D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a kérelemben foglaltak teljesítése esetén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ellenérdekű ügyfél hiányában, a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fellebbezési jogomról lemond</w:t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ok</w:t>
      </w:r>
      <w:r w:rsidR="00980EC6" w:rsidRPr="00721587">
        <w:rPr>
          <w:rStyle w:val="Lbjegyzet-hivatkozs"/>
          <w:rFonts w:asciiTheme="minorHAnsi" w:eastAsia="Times New Roman" w:hAnsiTheme="minorHAnsi"/>
          <w:b/>
          <w:sz w:val="22"/>
          <w:lang w:eastAsia="hu-HU"/>
          <w14:numForm w14:val="lining"/>
        </w:rPr>
        <w:footnoteReference w:id="3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,</w:t>
      </w:r>
    </w:p>
    <w:p w14:paraId="751188C6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tagdíjtar</w:t>
      </w:r>
      <w:r w:rsidR="00D4013F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ozásom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>/</w:t>
      </w:r>
      <w:r w:rsid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nyilvántartási díj tartozásom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nincs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.</w:t>
      </w:r>
    </w:p>
    <w:p w14:paraId="3CB90C31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22157BCF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Tudomásul veszem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, </w:t>
      </w:r>
      <w:r w:rsidR="00721587">
        <w:rPr>
          <w:rFonts w:asciiTheme="minorHAnsi" w:eastAsia="Times New Roman" w:hAnsiTheme="minorHAnsi"/>
          <w:sz w:val="22"/>
          <w:lang w:eastAsia="hu-HU"/>
          <w14:numForm w14:val="lining"/>
        </w:rPr>
        <w:t>hogy</w:t>
      </w:r>
    </w:p>
    <w:p w14:paraId="2D3B7D08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0" w:name="_Hlk17898394"/>
      <w:r w:rsidRPr="001777A4">
        <w:rPr>
          <w:rFonts w:ascii="Calibri" w:hAnsi="Calibri" w:cs="Calibri"/>
          <w:sz w:val="22"/>
        </w:rPr>
        <w:t>a</w:t>
      </w:r>
      <w:r w:rsidRPr="001777A4">
        <w:rPr>
          <w:rFonts w:ascii="Calibri" w:hAnsi="Calibri" w:cs="Calibri"/>
          <w:b/>
          <w:sz w:val="22"/>
        </w:rPr>
        <w:t xml:space="preserve"> </w:t>
      </w:r>
      <w:r w:rsidRPr="001777A4">
        <w:rPr>
          <w:rFonts w:ascii="Calibri" w:hAnsi="Calibri" w:cs="Calibri"/>
          <w:sz w:val="22"/>
        </w:rPr>
        <w:t>Kamara, személyes adataim tekintetében adatkezelőnek minősül</w:t>
      </w:r>
      <w:r w:rsidRPr="001777A4">
        <w:rPr>
          <w:rStyle w:val="Lbjegyzet-hivatkozs"/>
          <w:rFonts w:ascii="Calibri" w:hAnsi="Calibri" w:cs="Calibri"/>
          <w:sz w:val="22"/>
        </w:rPr>
        <w:footnoteReference w:id="4"/>
      </w:r>
      <w:r w:rsidRPr="001777A4">
        <w:rPr>
          <w:rFonts w:ascii="Calibri" w:hAnsi="Calibri" w:cs="Calibri"/>
          <w:sz w:val="22"/>
        </w:rPr>
        <w:t>, így azokat - feladata ellátásának érdekében - feldolgozhatja, kezelheti, más adatfeldolgozónak</w:t>
      </w:r>
      <w:r>
        <w:rPr>
          <w:rFonts w:ascii="Calibri" w:hAnsi="Calibri" w:cs="Calibri"/>
          <w:sz w:val="22"/>
        </w:rPr>
        <w:t>, harmadik félnek</w:t>
      </w:r>
      <w:r w:rsidRPr="001777A4">
        <w:rPr>
          <w:rFonts w:ascii="Calibri" w:hAnsi="Calibri" w:cs="Calibri"/>
          <w:sz w:val="22"/>
        </w:rPr>
        <w:t xml:space="preserve"> továbbíthatja,</w:t>
      </w:r>
    </w:p>
    <w:p w14:paraId="5E3864A9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1" w:name="_Hlk17898403"/>
      <w:bookmarkEnd w:id="0"/>
      <w:r w:rsidRPr="001777A4">
        <w:rPr>
          <w:rFonts w:ascii="Calibri" w:hAnsi="Calibri" w:cs="Calibri"/>
          <w:sz w:val="22"/>
        </w:rPr>
        <w:t>a Kamara, személyes adataimat statisztikai célokra felhasználhatja.</w:t>
      </w:r>
    </w:p>
    <w:bookmarkEnd w:id="1"/>
    <w:p w14:paraId="347A8F8C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771"/>
        <w:gridCol w:w="3435"/>
      </w:tblGrid>
      <w:tr w:rsidR="00721587" w:rsidRPr="00001DD3" w14:paraId="5BEC7880" w14:textId="77777777" w:rsidTr="00721587">
        <w:tc>
          <w:tcPr>
            <w:tcW w:w="6771" w:type="dxa"/>
          </w:tcPr>
          <w:p w14:paraId="5CE1B3C4" w14:textId="77777777" w:rsidR="00721587" w:rsidRPr="00001DD3" w:rsidRDefault="00721587" w:rsidP="00AA33C5">
            <w:pPr>
              <w:rPr>
                <w:rFonts w:ascii="Calibri" w:hAnsi="Calibri" w:cs="Calibri"/>
                <w:sz w:val="22"/>
              </w:rPr>
            </w:pPr>
            <w:bookmarkStart w:id="2" w:name="_Hlk16080024"/>
            <w:r w:rsidRPr="002E1B63">
              <w:rPr>
                <w:rFonts w:ascii="Calibri" w:hAnsi="Calibri" w:cs="Calibri"/>
                <w:b/>
                <w:bCs/>
                <w:iCs/>
                <w:sz w:val="22"/>
              </w:rPr>
              <w:t>Hozzájárulok</w:t>
            </w:r>
            <w:r w:rsidRPr="00A9094B">
              <w:rPr>
                <w:rFonts w:ascii="Calibri" w:hAnsi="Calibri" w:cs="Calibri"/>
                <w:iCs/>
                <w:spacing w:val="24"/>
                <w:sz w:val="22"/>
              </w:rPr>
              <w:t>,</w:t>
            </w:r>
            <w:r w:rsidRPr="00001DD3">
              <w:rPr>
                <w:rFonts w:ascii="Calibri" w:hAnsi="Calibri" w:cs="Calibri"/>
                <w:sz w:val="22"/>
              </w:rPr>
              <w:t xml:space="preserve"> hogy a Kamara részemre elektronikus Hírlevelet küldjön </w:t>
            </w:r>
          </w:p>
        </w:tc>
        <w:tc>
          <w:tcPr>
            <w:tcW w:w="3435" w:type="dxa"/>
          </w:tcPr>
          <w:p w14:paraId="59BA5219" w14:textId="77777777" w:rsidR="00721587" w:rsidRPr="00A9094B" w:rsidRDefault="00721587" w:rsidP="00721587">
            <w:pPr>
              <w:ind w:left="748" w:right="-124"/>
              <w:jc w:val="center"/>
              <w:rPr>
                <w:rFonts w:ascii="Calibri" w:hAnsi="Calibri" w:cs="Calibri"/>
                <w:iCs/>
                <w:spacing w:val="24"/>
                <w:sz w:val="22"/>
              </w:rPr>
            </w:pPr>
            <w:proofErr w:type="gramStart"/>
            <w:r w:rsidRPr="00001DD3">
              <w:rPr>
                <w:rFonts w:ascii="Calibri" w:hAnsi="Calibri" w:cs="Calibri"/>
                <w:sz w:val="22"/>
              </w:rPr>
              <w:t>igen  /</w:t>
            </w:r>
            <w:proofErr w:type="gramEnd"/>
            <w:r w:rsidRPr="00001DD3">
              <w:rPr>
                <w:rFonts w:ascii="Calibri" w:hAnsi="Calibri" w:cs="Calibri"/>
                <w:sz w:val="22"/>
              </w:rPr>
              <w:t xml:space="preserve">  nem</w:t>
            </w:r>
          </w:p>
        </w:tc>
      </w:tr>
      <w:bookmarkEnd w:id="2"/>
    </w:tbl>
    <w:p w14:paraId="19D7A42A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0C194B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1D71C49C" w14:textId="77777777" w:rsidR="00721587" w:rsidRDefault="00721587" w:rsidP="00721587">
      <w:pPr>
        <w:pStyle w:val="Cm"/>
        <w:tabs>
          <w:tab w:val="left" w:pos="4820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proofErr w:type="gramStart"/>
      <w:r w:rsidRPr="002E1B63">
        <w:rPr>
          <w:rFonts w:ascii="Calibri" w:hAnsi="Calibri" w:cs="Calibri"/>
          <w:b w:val="0"/>
          <w:bCs/>
          <w:sz w:val="22"/>
          <w:szCs w:val="22"/>
        </w:rPr>
        <w:t>Kelt.</w:t>
      </w:r>
      <w:r>
        <w:rPr>
          <w:rFonts w:ascii="Calibri" w:hAnsi="Calibri" w:cs="Calibri"/>
          <w:b w:val="0"/>
          <w:bCs/>
          <w:sz w:val="22"/>
          <w:szCs w:val="22"/>
        </w:rPr>
        <w:t>…</w:t>
      </w:r>
      <w:proofErr w:type="gramEnd"/>
      <w:r>
        <w:rPr>
          <w:rFonts w:ascii="Calibri" w:hAnsi="Calibri" w:cs="Calibri"/>
          <w:b w:val="0"/>
          <w:bCs/>
          <w:sz w:val="22"/>
          <w:szCs w:val="22"/>
        </w:rPr>
        <w:t xml:space="preserve">……………………………………………………… </w:t>
      </w:r>
      <w:r>
        <w:rPr>
          <w:rFonts w:ascii="Calibri" w:hAnsi="Calibri" w:cs="Calibri"/>
          <w:b w:val="0"/>
          <w:bCs/>
          <w:sz w:val="22"/>
          <w:szCs w:val="22"/>
        </w:rPr>
        <w:tab/>
      </w:r>
      <w:r w:rsidRPr="002E1B63"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………………………………………………………….……....</w:t>
      </w:r>
    </w:p>
    <w:p w14:paraId="30904FA5" w14:textId="77777777" w:rsidR="00781407" w:rsidRPr="00721587" w:rsidRDefault="00721587" w:rsidP="00721587">
      <w:pPr>
        <w:tabs>
          <w:tab w:val="left" w:pos="5954"/>
        </w:tabs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>
        <w:rPr>
          <w:rFonts w:ascii="Calibri" w:hAnsi="Calibri" w:cs="Calibri"/>
          <w:b/>
          <w:bCs/>
          <w:sz w:val="22"/>
        </w:rPr>
        <w:tab/>
      </w:r>
      <w:r w:rsidRPr="00721587">
        <w:rPr>
          <w:rFonts w:ascii="Calibri" w:hAnsi="Calibri" w:cs="Calibri"/>
          <w:sz w:val="22"/>
        </w:rPr>
        <w:tab/>
        <w:t>aláírás</w:t>
      </w:r>
      <w:r w:rsidRPr="001777A4">
        <w:rPr>
          <w:rFonts w:ascii="Calibri" w:hAnsi="Calibri" w:cs="Calibri"/>
          <w:sz w:val="22"/>
        </w:rPr>
        <w:br w:type="page"/>
      </w:r>
      <w:r w:rsidR="00781407" w:rsidRPr="00721587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lastRenderedPageBreak/>
        <w:t>Tájékoztató</w:t>
      </w:r>
    </w:p>
    <w:p w14:paraId="2B4C2A0C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</w:p>
    <w:p w14:paraId="23F5D9ED" w14:textId="77777777" w:rsidR="00781407" w:rsidRPr="00FF7645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Tagság </w:t>
      </w:r>
      <w:r w:rsidR="00EA082D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felfüggesztése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és jogosultság egyidejű szüneteltetése:</w:t>
      </w:r>
    </w:p>
    <w:p w14:paraId="29B626D6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</w:t>
      </w:r>
      <w:r w:rsidRPr="00FF7645">
        <w:rPr>
          <w:rFonts w:asciiTheme="minorHAnsi" w:eastAsia="Times New Roman" w:hAnsiTheme="minorHAnsi"/>
          <w:sz w:val="21"/>
          <w:szCs w:val="21"/>
          <w:vertAlign w:val="superscript"/>
          <w:lang w:eastAsia="hu-HU"/>
          <w14:numForm w14:val="lining"/>
        </w:rPr>
        <w:footnoteReference w:id="5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4BFCB7BF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visszamenőleges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felfüggesztésre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nincs lehetőség,</w:t>
      </w:r>
    </w:p>
    <w:p w14:paraId="3921EDF8" w14:textId="0060F885" w:rsidR="00781407" w:rsidRPr="00FF7645" w:rsidRDefault="00800005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ideje alatt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tagdíjfizetési kötelezettség nincs</w:t>
      </w:r>
      <w:r w:rsidR="00781407" w:rsidRPr="008A13BF">
        <w:rPr>
          <w:rFonts w:asciiTheme="minorHAnsi" w:eastAsia="Times New Roman" w:hAnsiTheme="minorHAnsi"/>
          <w:bCs/>
          <w:sz w:val="21"/>
          <w:szCs w:val="21"/>
          <w:lang w:eastAsia="hu-HU"/>
          <w14:numForm w14:val="lining"/>
        </w:rPr>
        <w:t>,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</w:t>
      </w:r>
    </w:p>
    <w:p w14:paraId="65B32180" w14:textId="232AA8DC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felfüggesztése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esetén a jogosultságok is automatikusan szüneteltetésre kerülnek,</w:t>
      </w:r>
    </w:p>
    <w:p w14:paraId="2419269C" w14:textId="369CCFA6" w:rsidR="00781407" w:rsidRPr="00FF764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nem adható, ha a szüneteltetni kívánt jogosultsághoz tartozó továbbképzési időszak lejárt vagy bármilyen díjtartozás áll fenn,</w:t>
      </w:r>
    </w:p>
    <w:p w14:paraId="73EAF2DB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tényéről (ha a kérelmező a Magyar Igazságügyi Szakértői Kamarának is tagja) az igazságügyi szakértők névjegyzékének vezetője értesítést kap,</w:t>
      </w:r>
    </w:p>
    <w:p w14:paraId="1773A0A4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a kamarai tagság </w:t>
      </w:r>
      <w:proofErr w:type="spellStart"/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max</w:t>
      </w:r>
      <w:proofErr w:type="spellEnd"/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. 5 évig </w:t>
      </w:r>
      <w:r w:rsidR="00800005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függeszthető fel</w:t>
      </w:r>
      <w:r w:rsidRPr="00FF7645">
        <w:rPr>
          <w:rFonts w:asciiTheme="minorHAnsi" w:eastAsia="Times New Roman" w:hAnsiTheme="minorHAnsi"/>
          <w:b/>
          <w:sz w:val="21"/>
          <w:szCs w:val="21"/>
          <w:vertAlign w:val="superscript"/>
          <w:lang w:eastAsia="hu-HU"/>
          <w14:numForm w14:val="lining"/>
        </w:rPr>
        <w:footnoteReference w:id="6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. A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helyreállítása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kérelmező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feladata.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A kérelem beadásának elmulasztása esetén - külön értesítés nélkül - a kamarai tagság megszűnik, és a kapcsolódó jogosultság(ok) törlésre kerül,</w:t>
      </w:r>
    </w:p>
    <w:p w14:paraId="49E66867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tagi státusz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helyreállítási díja az aktuális tagdíj 50 %-a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2740136F" w14:textId="77777777" w:rsidR="00781407" w:rsidRPr="00FF764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felfüggesztett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tagsággal együtt szüneteltetett jogosultság esetén, a továbbképzési kötelezettség folyamatos, annak teljesítését helyreállításkor igazolni szükséges.</w:t>
      </w:r>
    </w:p>
    <w:p w14:paraId="60363EE5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p w14:paraId="1C17D287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Jogosultság szüneteltetése:</w:t>
      </w:r>
    </w:p>
    <w:p w14:paraId="58F437C5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igazolása,</w:t>
      </w:r>
    </w:p>
    <w:p w14:paraId="2C0C5948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aktív kamarai tagság mellett a szakmagyakorlási jogosultságok külön is szüneteltethetők,</w:t>
      </w:r>
    </w:p>
    <w:p w14:paraId="70C9FB64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visszamenőleges szüneteltetésre nincs lehetőség,</w:t>
      </w:r>
    </w:p>
    <w:p w14:paraId="0FBE1C2C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szüneteltetés nem adható, ha a szüneteltetni kívánt jogosultsághoz tartozó továbbképzési időszak lejárt vagy bármilyen díjtartozás áll fenn,</w:t>
      </w:r>
    </w:p>
    <w:p w14:paraId="0B4B8CBE" w14:textId="4104BE25" w:rsidR="00781407" w:rsidRPr="00FF7645" w:rsidRDefault="008A13BF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az összes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jogosultság szüneteltetése esetén, a szüneteltetés időpontjától 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kedvezményes tagdíjfizetési kötelezettség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kerül megállapításra. </w:t>
      </w:r>
    </w:p>
    <w:p w14:paraId="6C6316CF" w14:textId="5470A08B" w:rsidR="00781407" w:rsidRPr="00FF7645" w:rsidRDefault="00781407" w:rsidP="00781407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kedvezményes tagdíj összege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20</w:t>
      </w:r>
      <w:r w:rsidR="002006DD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</w:t>
      </w:r>
      <w:r w:rsidR="00216B0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6</w:t>
      </w:r>
      <w:r w:rsidR="00F3637F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évben </w:t>
      </w:r>
      <w:r w:rsidR="008A13B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3</w:t>
      </w:r>
      <w:r w:rsidR="00216B0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3</w:t>
      </w:r>
      <w:r w:rsidR="00F3637F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="00216B06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6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00.-Ft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 amennyiben tagsága aktív</w:t>
      </w:r>
      <w:r w:rsidR="008A13BF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és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aktív jogosultsága nincs</w:t>
      </w:r>
      <w:r w:rsidRPr="00FF7645">
        <w:rPr>
          <w:rFonts w:asciiTheme="minorHAnsi" w:eastAsia="Times New Roman" w:hAnsiTheme="minorHAnsi"/>
          <w:b/>
          <w:sz w:val="21"/>
          <w:szCs w:val="21"/>
          <w:vertAlign w:val="superscript"/>
          <w:lang w:eastAsia="hu-HU"/>
          <w14:numForm w14:val="lining"/>
        </w:rPr>
        <w:footnoteReference w:id="7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.</w:t>
      </w:r>
    </w:p>
    <w:p w14:paraId="2AE5BA91" w14:textId="0A1BC4E0" w:rsidR="00781407" w:rsidRPr="00FF7645" w:rsidRDefault="00781407" w:rsidP="00781407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 a jogosultság szüneteltetésének időszakára vonatkozik, helyreállítás esetén további, </w:t>
      </w:r>
      <w:r w:rsidR="009635CB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az éves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tagdíjból számított időarányos tagdíjat kell fizetni.</w:t>
      </w:r>
    </w:p>
    <w:p w14:paraId="4A331CB3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szüneteltetett jogosultság helyreállításakor, a továbbképzés kötelező része elvégzéséről szóló érvényes igazolással kell rendelkezni. Amennyiben a jogosultsághoz tartozó továbbképzési időszak a szüneteltetés időtartama alatt lejár, úgy a teljes továbbképzés (szakmai 20 pont és kötelező) elvégzését igazolni szükséges.</w:t>
      </w:r>
    </w:p>
    <w:p w14:paraId="25E0D892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sectPr w:rsidR="00781407" w:rsidRPr="00FF7645" w:rsidSect="002A74C5">
      <w:headerReference w:type="default" r:id="rId8"/>
      <w:pgSz w:w="11906" w:h="16838" w:code="9"/>
      <w:pgMar w:top="851" w:right="851" w:bottom="851" w:left="851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2706" w14:textId="77777777" w:rsidR="009B6CE7" w:rsidRDefault="009B6CE7" w:rsidP="00781407">
      <w:pPr>
        <w:spacing w:after="0" w:line="240" w:lineRule="auto"/>
      </w:pPr>
      <w:r>
        <w:separator/>
      </w:r>
    </w:p>
  </w:endnote>
  <w:endnote w:type="continuationSeparator" w:id="0">
    <w:p w14:paraId="04D512BF" w14:textId="77777777" w:rsidR="009B6CE7" w:rsidRDefault="009B6CE7" w:rsidP="0078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DB32" w14:textId="77777777" w:rsidR="009B6CE7" w:rsidRDefault="009B6CE7" w:rsidP="00781407">
      <w:pPr>
        <w:spacing w:after="0" w:line="240" w:lineRule="auto"/>
      </w:pPr>
      <w:r>
        <w:separator/>
      </w:r>
    </w:p>
  </w:footnote>
  <w:footnote w:type="continuationSeparator" w:id="0">
    <w:p w14:paraId="42F4A2C7" w14:textId="77777777" w:rsidR="009B6CE7" w:rsidRDefault="009B6CE7" w:rsidP="00781407">
      <w:pPr>
        <w:spacing w:after="0" w:line="240" w:lineRule="auto"/>
      </w:pPr>
      <w:r>
        <w:continuationSeparator/>
      </w:r>
    </w:p>
  </w:footnote>
  <w:footnote w:id="1">
    <w:p w14:paraId="015B7465" w14:textId="350AEC3C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A63629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A63629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A magyar építészetről</w:t>
      </w:r>
      <w:r w:rsidR="00816B4E" w:rsidRPr="00816B4E">
        <w:rPr>
          <w:rFonts w:asciiTheme="minorHAnsi" w:hAnsiTheme="minorHAnsi" w:cstheme="minorHAnsi"/>
          <w:sz w:val="18"/>
          <w:szCs w:val="18"/>
          <w14:numForm w14:val="lining"/>
        </w:rPr>
        <w:t xml:space="preserve"> szóló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2023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évi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C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tv.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42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. § (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4) bekezdés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alapján</w:t>
      </w:r>
    </w:p>
  </w:footnote>
  <w:footnote w:id="2">
    <w:p w14:paraId="2C8D04F5" w14:textId="77777777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Az építésügyi és az építésüggyel összefüggő szakmagyakorlási tevékenységekről szóló 266/2013 (VII.11.) Korm. rendelet</w:t>
      </w:r>
      <w:r w:rsidR="002A74C5"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33.§ alapján</w:t>
      </w:r>
    </w:p>
  </w:footnote>
  <w:footnote w:id="3">
    <w:p w14:paraId="390402AC" w14:textId="77777777" w:rsidR="00980EC6" w:rsidRPr="00A63629" w:rsidRDefault="00980EC6" w:rsidP="00551746">
      <w:pPr>
        <w:pStyle w:val="Lbjegyzetszveg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721587">
        <w:rPr>
          <w:rFonts w:asciiTheme="minorHAnsi" w:hAnsiTheme="minorHAnsi" w:cstheme="minorHAnsi"/>
          <w:sz w:val="18"/>
          <w:szCs w:val="18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2016. évi CL törvény 82.§ (3) a) pontja alapján</w:t>
      </w:r>
    </w:p>
  </w:footnote>
  <w:footnote w:id="4">
    <w:p w14:paraId="69E75364" w14:textId="4824F182" w:rsidR="00721587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color w:val="000000"/>
          <w:sz w:val="18"/>
          <w:szCs w:val="18"/>
        </w:rPr>
      </w:pPr>
      <w:r w:rsidRPr="000B6A79">
        <w:rPr>
          <w:rStyle w:val="Lbjegyzet-hivatkozs"/>
          <w:rFonts w:ascii="Calibri" w:hAnsi="Calibri" w:cs="Calibri"/>
          <w:sz w:val="16"/>
          <w:szCs w:val="16"/>
        </w:rPr>
        <w:footnoteRef/>
      </w:r>
      <w:proofErr w:type="gramStart"/>
      <w:r w:rsidRPr="000B6A79">
        <w:rPr>
          <w:rFonts w:ascii="Calibri" w:hAnsi="Calibri" w:cs="Calibri"/>
          <w:color w:val="000000"/>
          <w:sz w:val="18"/>
          <w:szCs w:val="18"/>
        </w:rPr>
        <w:t>:</w:t>
      </w:r>
      <w:r w:rsidRPr="00941576">
        <w:rPr>
          <w:rFonts w:ascii="Calibri" w:hAnsi="Calibri" w:cs="Calibri"/>
          <w:color w:val="000000"/>
          <w:sz w:val="18"/>
          <w:szCs w:val="18"/>
        </w:rPr>
        <w:t>„</w:t>
      </w:r>
      <w:proofErr w:type="gramEnd"/>
      <w:r w:rsidRPr="007815F6">
        <w:rPr>
          <w:rFonts w:ascii="Calibri" w:hAnsi="Calibri" w:cs="Calibri"/>
          <w:i/>
          <w:color w:val="000000"/>
          <w:sz w:val="18"/>
          <w:szCs w:val="18"/>
        </w:rPr>
        <w:t>A hatóság az ügyfél és az eljárás egyéb résztvevője azonosításához szükséges természetes személyazonosító adatokat és az ügyfajtát szabályozó törvényben meghatározott személyes adatokat, továbbá - ha törvény másként nem rendelkezik - az eljárás eredményes lefolytatásához elengedhetetlenül szükséges más személyes adatokat kezeli</w:t>
      </w:r>
      <w:r w:rsidRPr="00941576">
        <w:rPr>
          <w:rFonts w:ascii="Calibri" w:hAnsi="Calibri" w:cs="Calibri"/>
          <w:i/>
          <w:color w:val="000000"/>
          <w:sz w:val="18"/>
          <w:szCs w:val="18"/>
        </w:rPr>
        <w:t>.</w:t>
      </w:r>
      <w:r w:rsidRPr="00941576">
        <w:rPr>
          <w:rFonts w:ascii="Calibri" w:hAnsi="Calibri" w:cs="Calibri"/>
          <w:color w:val="000000"/>
          <w:sz w:val="18"/>
          <w:szCs w:val="18"/>
        </w:rPr>
        <w:t>”</w:t>
      </w:r>
      <w:r>
        <w:rPr>
          <w:rFonts w:ascii="Calibri" w:hAnsi="Calibri" w:cs="Calibri"/>
          <w:color w:val="000000"/>
          <w:sz w:val="18"/>
          <w:szCs w:val="18"/>
        </w:rPr>
        <w:t xml:space="preserve"> (</w:t>
      </w:r>
      <w:r w:rsidRPr="00721587">
        <w:rPr>
          <w:rFonts w:ascii="Calibri" w:hAnsi="Calibri" w:cs="Calibri"/>
          <w:color w:val="000000"/>
          <w:sz w:val="18"/>
          <w:szCs w:val="18"/>
        </w:rPr>
        <w:t xml:space="preserve">Az általános közigazgatási rendtartásról szóló 2016. évi CL. törvény </w:t>
      </w:r>
      <w:r w:rsidRPr="00941576">
        <w:rPr>
          <w:rFonts w:ascii="Calibri" w:hAnsi="Calibri" w:cs="Calibri"/>
          <w:color w:val="000000"/>
          <w:sz w:val="18"/>
          <w:szCs w:val="18"/>
        </w:rPr>
        <w:t>27§</w:t>
      </w:r>
      <w:r>
        <w:rPr>
          <w:rFonts w:ascii="Calibri" w:hAnsi="Calibri" w:cs="Calibri"/>
          <w:color w:val="000000"/>
          <w:sz w:val="18"/>
          <w:szCs w:val="18"/>
        </w:rPr>
        <w:t xml:space="preserve"> 1)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6A770FD2" w14:textId="77777777" w:rsidR="00721587" w:rsidRPr="00941576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941576">
        <w:rPr>
          <w:rFonts w:ascii="Calibri" w:hAnsi="Calibri" w:cs="Calibri"/>
          <w:sz w:val="18"/>
          <w:szCs w:val="18"/>
        </w:rPr>
        <w:t>* Kitöltése kötelező</w:t>
      </w:r>
    </w:p>
  </w:footnote>
  <w:footnote w:id="5">
    <w:p w14:paraId="74A6EC17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</w:t>
      </w:r>
      <w:r w:rsidR="00721587">
        <w:rPr>
          <w:rFonts w:asciiTheme="minorHAnsi" w:hAnsiTheme="minorHAnsi" w:cstheme="minorHAnsi"/>
          <w:sz w:val="18"/>
          <w:szCs w:val="18"/>
          <w14:numForm w14:val="lining"/>
        </w:rPr>
        <w:t>agyar Építész Kamara (MÉK)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Pénzügyi és gazdálkodási Szabályzat 4.2.2. (2) bekezdés</w:t>
      </w:r>
    </w:p>
  </w:footnote>
  <w:footnote w:id="6">
    <w:p w14:paraId="42BC1169" w14:textId="403D4B09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2023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évi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C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törvény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42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. §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 xml:space="preserve"> (7)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a) pont</w:t>
      </w:r>
    </w:p>
  </w:footnote>
  <w:footnote w:id="7">
    <w:p w14:paraId="43F4C814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MÉK Pénzügyi és gazdálkodási Szabályzat 4.2.3. (3) bekezdés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D98C" w14:textId="77777777" w:rsidR="00A45410" w:rsidRDefault="00A45410">
    <w:pPr>
      <w:pStyle w:val="lfej"/>
      <w:jc w:val="right"/>
    </w:pPr>
    <w:r>
      <w:rPr>
        <w:rFonts w:asciiTheme="minorHAnsi" w:hAnsiTheme="minorHAnsi"/>
        <w:sz w:val="18"/>
        <w:szCs w:val="18"/>
      </w:rPr>
      <w:t xml:space="preserve">FELFÜGGESZTÉS / SZÜNETELTETÉS            </w:t>
    </w:r>
    <w:sdt>
      <w:sdtPr>
        <w:rPr>
          <w:rFonts w:asciiTheme="minorHAnsi" w:hAnsiTheme="minorHAnsi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>
        <w:rPr>
          <w:rFonts w:ascii="Century Gothic" w:hAnsi="Century Gothic"/>
          <w:sz w:val="20"/>
          <w:szCs w:val="22"/>
        </w:rPr>
      </w:sdtEndPr>
      <w:sdtContent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PAGE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  <w:r w:rsidRPr="00A45410">
          <w:rPr>
            <w:rFonts w:asciiTheme="minorHAnsi" w:hAnsiTheme="minorHAnsi"/>
            <w:sz w:val="18"/>
            <w:szCs w:val="18"/>
          </w:rPr>
          <w:t xml:space="preserve"> / 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</w:sdtContent>
    </w:sdt>
  </w:p>
  <w:p w14:paraId="4B9AC75F" w14:textId="77777777" w:rsidR="00A45410" w:rsidRDefault="00A454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5AA"/>
    <w:multiLevelType w:val="hybridMultilevel"/>
    <w:tmpl w:val="54D61A90"/>
    <w:lvl w:ilvl="0" w:tplc="371C8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547"/>
    <w:multiLevelType w:val="hybridMultilevel"/>
    <w:tmpl w:val="64EC4AF0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7157"/>
    <w:multiLevelType w:val="hybridMultilevel"/>
    <w:tmpl w:val="E868707E"/>
    <w:lvl w:ilvl="0" w:tplc="7132EA9E">
      <w:start w:val="5"/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E05"/>
    <w:multiLevelType w:val="hybridMultilevel"/>
    <w:tmpl w:val="9446D418"/>
    <w:lvl w:ilvl="0" w:tplc="C79653A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1D19"/>
    <w:multiLevelType w:val="hybridMultilevel"/>
    <w:tmpl w:val="27A2EA60"/>
    <w:lvl w:ilvl="0" w:tplc="210668E8">
      <w:numFmt w:val="bullet"/>
      <w:lvlText w:val=""/>
      <w:lvlJc w:val="left"/>
      <w:pPr>
        <w:ind w:left="4969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 w16cid:durableId="634065023">
    <w:abstractNumId w:val="0"/>
  </w:num>
  <w:num w:numId="2" w16cid:durableId="1455253491">
    <w:abstractNumId w:val="4"/>
  </w:num>
  <w:num w:numId="3" w16cid:durableId="495725708">
    <w:abstractNumId w:val="1"/>
  </w:num>
  <w:num w:numId="4" w16cid:durableId="481697500">
    <w:abstractNumId w:val="3"/>
  </w:num>
  <w:num w:numId="5" w16cid:durableId="205391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7"/>
    <w:rsid w:val="00061766"/>
    <w:rsid w:val="00195F38"/>
    <w:rsid w:val="001A168F"/>
    <w:rsid w:val="001A2BFD"/>
    <w:rsid w:val="002006DD"/>
    <w:rsid w:val="00216B06"/>
    <w:rsid w:val="002A74C5"/>
    <w:rsid w:val="002C74C2"/>
    <w:rsid w:val="00357BD5"/>
    <w:rsid w:val="003C5DC8"/>
    <w:rsid w:val="005346B6"/>
    <w:rsid w:val="00551746"/>
    <w:rsid w:val="005757FB"/>
    <w:rsid w:val="006637DB"/>
    <w:rsid w:val="00721587"/>
    <w:rsid w:val="00781407"/>
    <w:rsid w:val="00800005"/>
    <w:rsid w:val="00803BA0"/>
    <w:rsid w:val="00816B4E"/>
    <w:rsid w:val="008A13BF"/>
    <w:rsid w:val="008E519F"/>
    <w:rsid w:val="009169F1"/>
    <w:rsid w:val="009635CB"/>
    <w:rsid w:val="00980EC6"/>
    <w:rsid w:val="00984379"/>
    <w:rsid w:val="009B6CE7"/>
    <w:rsid w:val="009C602C"/>
    <w:rsid w:val="00A45410"/>
    <w:rsid w:val="00A63629"/>
    <w:rsid w:val="00A946EC"/>
    <w:rsid w:val="00B039D3"/>
    <w:rsid w:val="00B4337C"/>
    <w:rsid w:val="00C45AC7"/>
    <w:rsid w:val="00CA0366"/>
    <w:rsid w:val="00CD37FC"/>
    <w:rsid w:val="00D4013F"/>
    <w:rsid w:val="00EA082D"/>
    <w:rsid w:val="00F33213"/>
    <w:rsid w:val="00F3637F"/>
    <w:rsid w:val="00FC306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1786"/>
  <w15:chartTrackingRefBased/>
  <w15:docId w15:val="{24733E5E-0C26-4C80-A924-AA21BF0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781407"/>
    <w:pPr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81407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8140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5410"/>
  </w:style>
  <w:style w:type="paragraph" w:styleId="llb">
    <w:name w:val="footer"/>
    <w:basedOn w:val="Norml"/>
    <w:link w:val="llb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5410"/>
  </w:style>
  <w:style w:type="table" w:styleId="Rcsostblzat">
    <w:name w:val="Table Grid"/>
    <w:basedOn w:val="Normltblzat"/>
    <w:uiPriority w:val="59"/>
    <w:rsid w:val="002A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7215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2158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83A3-21DB-467F-8C26-EB2236E2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Szüneteltetési kérelem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Szüneteltetési kérelem</dc:title>
  <dc:subject/>
  <dc:creator>BÉK</dc:creator>
  <cp:keywords/>
  <dc:description/>
  <cp:lastModifiedBy>Tulajdonos</cp:lastModifiedBy>
  <cp:revision>2</cp:revision>
  <cp:lastPrinted>2025-01-09T10:57:00Z</cp:lastPrinted>
  <dcterms:created xsi:type="dcterms:W3CDTF">2026-01-05T09:21:00Z</dcterms:created>
  <dcterms:modified xsi:type="dcterms:W3CDTF">2026-01-05T09:21:00Z</dcterms:modified>
</cp:coreProperties>
</file>